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666"/>
        <w:gridCol w:w="12254"/>
      </w:tblGrid>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proofErr w:type="spellStart"/>
            <w:r w:rsidRPr="00E12CE0">
              <w:rPr>
                <w:rFonts w:ascii="Bookman Old Style" w:hAnsi="Bookman Old Style"/>
                <w:b/>
                <w:smallCaps/>
                <w:sz w:val="22"/>
                <w:szCs w:val="20"/>
              </w:rPr>
              <w:t>Seance</w:t>
            </w:r>
            <w:proofErr w:type="spellEnd"/>
          </w:p>
        </w:tc>
        <w:tc>
          <w:tcPr>
            <w:tcW w:w="122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jc w:val="center"/>
              <w:rPr>
                <w:rFonts w:ascii="Bookman Old Style" w:hAnsi="Bookman Old Style"/>
                <w:b/>
              </w:rPr>
            </w:pPr>
            <w:r w:rsidRPr="00E12CE0">
              <w:rPr>
                <w:rFonts w:ascii="Bookman Old Style" w:hAnsi="Bookman Old Style"/>
                <w:b/>
              </w:rPr>
              <w:t>Du bon usage des traducteurs en ligne et dictionnaires bilingues.</w:t>
            </w:r>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t>Classe</w:t>
            </w:r>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5B7E02" w:rsidP="00F45B3B">
            <w:pPr>
              <w:rPr>
                <w:rFonts w:ascii="Bookman Old Style" w:hAnsi="Bookman Old Style"/>
              </w:rPr>
            </w:pPr>
            <w:r w:rsidRPr="009C0AEF">
              <w:rPr>
                <w:rFonts w:ascii="Bookman Old Style" w:hAnsi="Bookman Old Style"/>
              </w:rPr>
              <w:t>3</w:t>
            </w:r>
            <w:r w:rsidRPr="009C0AEF">
              <w:rPr>
                <w:rFonts w:ascii="Bookman Old Style" w:hAnsi="Bookman Old Style"/>
                <w:vertAlign w:val="superscript"/>
              </w:rPr>
              <w:t>ème</w:t>
            </w:r>
            <w:r w:rsidRPr="009C0AEF">
              <w:rPr>
                <w:rFonts w:ascii="Bookman Old Style" w:hAnsi="Bookman Old Style"/>
              </w:rPr>
              <w:t xml:space="preserve"> Aubrac- 3</w:t>
            </w:r>
            <w:r w:rsidRPr="009C0AEF">
              <w:rPr>
                <w:rFonts w:ascii="Bookman Old Style" w:hAnsi="Bookman Old Style"/>
                <w:vertAlign w:val="superscript"/>
              </w:rPr>
              <w:t>ème</w:t>
            </w:r>
            <w:r w:rsidRPr="009C0AEF">
              <w:rPr>
                <w:rFonts w:ascii="Bookman Old Style" w:hAnsi="Bookman Old Style"/>
              </w:rPr>
              <w:t xml:space="preserve"> Clémenceau</w:t>
            </w:r>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b/>
                <w:smallCaps/>
                <w:szCs w:val="20"/>
              </w:rPr>
            </w:pPr>
            <w:r w:rsidRPr="00E12CE0">
              <w:rPr>
                <w:rFonts w:ascii="Bookman Old Style" w:hAnsi="Bookman Old Style"/>
                <w:b/>
                <w:smallCaps/>
                <w:sz w:val="22"/>
                <w:szCs w:val="20"/>
              </w:rPr>
              <w:t>Discipline</w:t>
            </w:r>
          </w:p>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t>Enseignant</w:t>
            </w:r>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5B7E02" w:rsidP="00F45B3B">
            <w:pPr>
              <w:spacing w:before="120"/>
              <w:rPr>
                <w:rFonts w:ascii="Bookman Old Style" w:hAnsi="Bookman Old Style"/>
              </w:rPr>
            </w:pPr>
            <w:r w:rsidRPr="009C0AEF">
              <w:rPr>
                <w:rFonts w:ascii="Bookman Old Style" w:hAnsi="Bookman Old Style"/>
              </w:rPr>
              <w:t>Anglais</w:t>
            </w:r>
          </w:p>
          <w:p w:rsidR="005B7E02" w:rsidRPr="009C0AEF" w:rsidRDefault="005B7E02" w:rsidP="00F45B3B">
            <w:pPr>
              <w:spacing w:before="120"/>
              <w:rPr>
                <w:rFonts w:ascii="Bookman Old Style" w:hAnsi="Bookman Old Style"/>
              </w:rPr>
            </w:pPr>
            <w:r w:rsidRPr="009C0AEF">
              <w:rPr>
                <w:rFonts w:ascii="Bookman Old Style" w:hAnsi="Bookman Old Style"/>
              </w:rPr>
              <w:t xml:space="preserve">M. </w:t>
            </w:r>
            <w:proofErr w:type="spellStart"/>
            <w:r w:rsidRPr="009C0AEF">
              <w:rPr>
                <w:rFonts w:ascii="Bookman Old Style" w:hAnsi="Bookman Old Style"/>
              </w:rPr>
              <w:t>Jean-Mary</w:t>
            </w:r>
            <w:proofErr w:type="spellEnd"/>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t>Objectifs</w:t>
            </w:r>
            <w:r w:rsidR="005920D7" w:rsidRPr="00E12CE0">
              <w:rPr>
                <w:rFonts w:ascii="Bookman Old Style" w:hAnsi="Bookman Old Style"/>
                <w:b/>
                <w:smallCaps/>
                <w:sz w:val="22"/>
                <w:szCs w:val="20"/>
              </w:rPr>
              <w:t xml:space="preserve"> et </w:t>
            </w:r>
            <w:proofErr w:type="spellStart"/>
            <w:r w:rsidR="005920D7" w:rsidRPr="00E12CE0">
              <w:rPr>
                <w:rFonts w:ascii="Bookman Old Style" w:hAnsi="Bookman Old Style"/>
                <w:b/>
                <w:smallCaps/>
                <w:sz w:val="22"/>
                <w:szCs w:val="20"/>
              </w:rPr>
              <w:t>competences</w:t>
            </w:r>
            <w:proofErr w:type="spellEnd"/>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5920D7" w:rsidP="00F45B3B">
            <w:pPr>
              <w:rPr>
                <w:rFonts w:ascii="Bookman Old Style" w:hAnsi="Bookman Old Style"/>
              </w:rPr>
            </w:pPr>
            <w:r w:rsidRPr="009C0AEF">
              <w:rPr>
                <w:rFonts w:ascii="Bookman Old Style" w:hAnsi="Bookman Old Style"/>
              </w:rPr>
              <w:t>- Prendre conscience des limites du traducteur en ligne afin d’avoir un regard critique sur les traductions proposées</w:t>
            </w:r>
          </w:p>
          <w:p w:rsidR="005920D7" w:rsidRPr="009C0AEF" w:rsidRDefault="005920D7" w:rsidP="00F45B3B">
            <w:pPr>
              <w:rPr>
                <w:rFonts w:ascii="Bookman Old Style" w:hAnsi="Bookman Old Style"/>
              </w:rPr>
            </w:pPr>
            <w:r w:rsidRPr="009C0AEF">
              <w:rPr>
                <w:rFonts w:ascii="Bookman Old Style" w:hAnsi="Bookman Old Style"/>
              </w:rPr>
              <w:t>- (Re)découvrir des dictionnaires en ligne fiables, notamment wordreference.com, et savoir utiliser les deux outils de façon complémentaire</w:t>
            </w:r>
          </w:p>
          <w:p w:rsidR="005920D7" w:rsidRPr="009C0AEF" w:rsidRDefault="005920D7" w:rsidP="00F45B3B">
            <w:pPr>
              <w:rPr>
                <w:rFonts w:ascii="Bookman Old Style" w:hAnsi="Bookman Old Style"/>
              </w:rPr>
            </w:pPr>
          </w:p>
          <w:p w:rsidR="005920D7" w:rsidRPr="009C0AEF" w:rsidRDefault="00F95DE9" w:rsidP="00F45B3B">
            <w:pPr>
              <w:rPr>
                <w:rFonts w:ascii="Bookman Old Style" w:hAnsi="Bookman Old Style"/>
                <w:b/>
              </w:rPr>
            </w:pPr>
            <w:r w:rsidRPr="009C0AEF">
              <w:rPr>
                <w:rFonts w:ascii="Bookman Old Style" w:hAnsi="Bookman Old Style"/>
                <w:b/>
              </w:rPr>
              <w:t xml:space="preserve">Socle- </w:t>
            </w:r>
            <w:r w:rsidR="005920D7" w:rsidRPr="009C0AEF">
              <w:rPr>
                <w:rFonts w:ascii="Bookman Old Style" w:hAnsi="Bookman Old Style"/>
                <w:b/>
              </w:rPr>
              <w:t>Domaine 2 : Les méthodes et outils pour apprendre</w:t>
            </w:r>
          </w:p>
          <w:p w:rsidR="005920D7" w:rsidRPr="009C0AEF" w:rsidRDefault="005920D7" w:rsidP="00F45B3B">
            <w:pPr>
              <w:rPr>
                <w:rFonts w:ascii="Bookman Old Style" w:hAnsi="Bookman Old Style"/>
              </w:rPr>
            </w:pPr>
            <w:r w:rsidRPr="009C0AEF">
              <w:rPr>
                <w:rFonts w:ascii="Bookman Old Style" w:hAnsi="Bookman Old Style"/>
              </w:rPr>
              <w:t>- Apprécier la fiabilité des informations recueillies en croisant différentes sources</w:t>
            </w:r>
          </w:p>
          <w:p w:rsidR="005920D7" w:rsidRPr="009C0AEF" w:rsidRDefault="005920D7" w:rsidP="00F45B3B">
            <w:pPr>
              <w:rPr>
                <w:rFonts w:ascii="Bookman Old Style" w:hAnsi="Bookman Old Style"/>
              </w:rPr>
            </w:pPr>
            <w:r w:rsidRPr="009C0AEF">
              <w:rPr>
                <w:rFonts w:ascii="Bookman Old Style" w:hAnsi="Bookman Old Style"/>
              </w:rPr>
              <w:t>- Utiliser des outils</w:t>
            </w:r>
            <w:bookmarkStart w:id="0" w:name="_GoBack"/>
            <w:bookmarkEnd w:id="0"/>
            <w:r w:rsidRPr="009C0AEF">
              <w:rPr>
                <w:rFonts w:ascii="Bookman Old Style" w:hAnsi="Bookman Old Style"/>
              </w:rPr>
              <w:t xml:space="preserve"> numériques pour analyser des données ou une production (orale, artistique, motrice, technologique, etc.).</w:t>
            </w:r>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t>Modalités</w:t>
            </w:r>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5920D7" w:rsidP="00F45B3B">
            <w:pPr>
              <w:rPr>
                <w:rFonts w:ascii="Bookman Old Style" w:hAnsi="Bookman Old Style"/>
              </w:rPr>
            </w:pPr>
            <w:r w:rsidRPr="009C0AEF">
              <w:rPr>
                <w:rFonts w:ascii="Bookman Old Style" w:hAnsi="Bookman Old Style"/>
              </w:rPr>
              <w:t>- En demi-groupe. Le reste du groupe travaille sur les dictionnaires papier en classe avec le professeur. Les groupes sont inversés à l’occasion d’une deuxième heure.</w:t>
            </w:r>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t>Déroulement</w:t>
            </w:r>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5920D7" w:rsidP="00F45B3B">
            <w:pPr>
              <w:rPr>
                <w:rFonts w:ascii="Bookman Old Style" w:hAnsi="Bookman Old Style"/>
              </w:rPr>
            </w:pPr>
            <w:r w:rsidRPr="009C0AEF">
              <w:rPr>
                <w:rFonts w:ascii="Bookman Old Style" w:hAnsi="Bookman Old Style"/>
              </w:rPr>
              <w:t xml:space="preserve">- </w:t>
            </w:r>
            <w:r w:rsidRPr="009C0AEF">
              <w:rPr>
                <w:rFonts w:ascii="Bookman Old Style" w:hAnsi="Bookman Old Style"/>
                <w:u w:val="single"/>
              </w:rPr>
              <w:t>Accueil des élèves. Présentation des objectifs de la sé</w:t>
            </w:r>
            <w:r w:rsidR="00912258" w:rsidRPr="009C0AEF">
              <w:rPr>
                <w:rFonts w:ascii="Bookman Old Style" w:hAnsi="Bookman Old Style"/>
                <w:u w:val="single"/>
              </w:rPr>
              <w:t>ance</w:t>
            </w:r>
            <w:r w:rsidR="00912258" w:rsidRPr="009C0AEF">
              <w:rPr>
                <w:rFonts w:ascii="Bookman Old Style" w:hAnsi="Bookman Old Style"/>
              </w:rPr>
              <w:t> : la plupart des élèves connaissent et utilisent déjà Google traduction, mais sans recul critique et sans analyse. Pourtant, cet outil est perfectible, la possibilité de suggérer des modifications le démontre. Mise en perspective par r</w:t>
            </w:r>
            <w:r w:rsidR="00134A60" w:rsidRPr="009C0AEF">
              <w:rPr>
                <w:rFonts w:ascii="Bookman Old Style" w:hAnsi="Bookman Old Style"/>
              </w:rPr>
              <w:t>apport à l’échéance des examens</w:t>
            </w:r>
            <w:r w:rsidR="00912258" w:rsidRPr="009C0AEF">
              <w:rPr>
                <w:rFonts w:ascii="Bookman Old Style" w:hAnsi="Bookman Old Style"/>
              </w:rPr>
              <w:t xml:space="preserve"> (où seul l’outil papier sera utilisable) et sur la nécessité d’apprendre du vocabulaire et des structures en utilisant cet outil à bon escient.</w:t>
            </w:r>
          </w:p>
          <w:p w:rsidR="00912258" w:rsidRPr="009C0AEF" w:rsidRDefault="00912258" w:rsidP="00F45B3B">
            <w:pPr>
              <w:rPr>
                <w:rFonts w:ascii="Bookman Old Style" w:hAnsi="Bookman Old Style"/>
              </w:rPr>
            </w:pPr>
            <w:r w:rsidRPr="009C0AEF">
              <w:rPr>
                <w:rFonts w:ascii="Bookman Old Style" w:hAnsi="Bookman Old Style"/>
              </w:rPr>
              <w:t xml:space="preserve">- </w:t>
            </w:r>
            <w:r w:rsidRPr="009C0AEF">
              <w:rPr>
                <w:rFonts w:ascii="Bookman Old Style" w:hAnsi="Bookman Old Style"/>
                <w:i/>
              </w:rPr>
              <w:t xml:space="preserve">Au </w:t>
            </w:r>
            <w:proofErr w:type="spellStart"/>
            <w:r w:rsidRPr="009C0AEF">
              <w:rPr>
                <w:rFonts w:ascii="Bookman Old Style" w:hAnsi="Bookman Old Style"/>
                <w:i/>
              </w:rPr>
              <w:t>vidéo-projecteur</w:t>
            </w:r>
            <w:proofErr w:type="spellEnd"/>
            <w:r w:rsidRPr="009C0AEF">
              <w:rPr>
                <w:rFonts w:ascii="Bookman Old Style" w:hAnsi="Bookman Old Style"/>
                <w:i/>
              </w:rPr>
              <w:t> :</w:t>
            </w:r>
            <w:r w:rsidRPr="009C0AEF">
              <w:rPr>
                <w:rFonts w:ascii="Bookman Old Style" w:hAnsi="Bookman Old Style"/>
              </w:rPr>
              <w:t xml:space="preserve"> écriture d’une phrase anglaise (voir fiche élève) dans Google traduction, analyse commune et correction collégiale de la traduction proposée en Français</w:t>
            </w:r>
          </w:p>
          <w:p w:rsidR="00912258" w:rsidRPr="009C0AEF" w:rsidRDefault="00912258" w:rsidP="00F45B3B">
            <w:pPr>
              <w:rPr>
                <w:rFonts w:ascii="Bookman Old Style" w:hAnsi="Bookman Old Style"/>
              </w:rPr>
            </w:pPr>
            <w:r w:rsidRPr="009C0AEF">
              <w:rPr>
                <w:rFonts w:ascii="Bookman Old Style" w:hAnsi="Bookman Old Style"/>
              </w:rPr>
              <w:t xml:space="preserve">- </w:t>
            </w:r>
            <w:r w:rsidRPr="009C0AEF">
              <w:rPr>
                <w:rFonts w:ascii="Bookman Old Style" w:hAnsi="Bookman Old Style"/>
                <w:i/>
              </w:rPr>
              <w:t>Sur la fiche élève</w:t>
            </w:r>
            <w:r w:rsidRPr="009C0AEF">
              <w:rPr>
                <w:rFonts w:ascii="Bookman Old Style" w:hAnsi="Bookman Old Style"/>
              </w:rPr>
              <w:t xml:space="preserve"> : recopiage de la correction et lecture </w:t>
            </w:r>
            <w:r w:rsidR="00F45B3B" w:rsidRPr="009C0AEF">
              <w:rPr>
                <w:rFonts w:ascii="Bookman Old Style" w:hAnsi="Bookman Old Style"/>
              </w:rPr>
              <w:t>commune des conseils de traductions donnés.</w:t>
            </w:r>
          </w:p>
          <w:p w:rsidR="00F45B3B" w:rsidRPr="009C0AEF" w:rsidRDefault="00E72775" w:rsidP="00F45B3B">
            <w:pPr>
              <w:rPr>
                <w:rFonts w:ascii="Bookman Old Style" w:hAnsi="Bookman Old Style"/>
              </w:rPr>
            </w:pPr>
            <w:r w:rsidRPr="009C0AEF">
              <w:rPr>
                <w:rFonts w:ascii="Bookman Old Style" w:hAnsi="Bookman Old Style"/>
              </w:rPr>
              <w:t xml:space="preserve">- </w:t>
            </w:r>
            <w:r w:rsidRPr="009C0AEF">
              <w:rPr>
                <w:rFonts w:ascii="Bookman Old Style" w:hAnsi="Bookman Old Style"/>
                <w:i/>
              </w:rPr>
              <w:t xml:space="preserve">Au </w:t>
            </w:r>
            <w:proofErr w:type="spellStart"/>
            <w:r w:rsidRPr="009C0AEF">
              <w:rPr>
                <w:rFonts w:ascii="Bookman Old Style" w:hAnsi="Bookman Old Style"/>
                <w:i/>
              </w:rPr>
              <w:t>vidéo-projecteur</w:t>
            </w:r>
            <w:proofErr w:type="spellEnd"/>
            <w:r w:rsidRPr="009C0AEF">
              <w:rPr>
                <w:rFonts w:ascii="Bookman Old Style" w:hAnsi="Bookman Old Style"/>
                <w:i/>
              </w:rPr>
              <w:t> </w:t>
            </w:r>
            <w:r w:rsidRPr="009C0AEF">
              <w:rPr>
                <w:rFonts w:ascii="Bookman Old Style" w:hAnsi="Bookman Old Style"/>
              </w:rPr>
              <w:t>: démonstration de l’utilisation du dictionnaire Wordreference.com autour de l’expression idiomatique « John Hancock ». Choix des langues sources, repérage de la traduction…</w:t>
            </w:r>
          </w:p>
          <w:p w:rsidR="00E72775" w:rsidRPr="009C0AEF" w:rsidRDefault="00E72775" w:rsidP="00F45B3B">
            <w:pPr>
              <w:rPr>
                <w:rFonts w:ascii="Bookman Old Style" w:hAnsi="Bookman Old Style"/>
              </w:rPr>
            </w:pPr>
            <w:r w:rsidRPr="009C0AEF">
              <w:rPr>
                <w:rFonts w:ascii="Bookman Old Style" w:hAnsi="Bookman Old Style"/>
              </w:rPr>
              <w:t xml:space="preserve">- Distribution des exercices avec explications des consignes : exercice a) traduction d’expressions idiomatiques, exercice b) traduction du mot live(s) en contexte, en étant attentif au sens global. Traduction collégiale de la phrase « New </w:t>
            </w:r>
            <w:proofErr w:type="spellStart"/>
            <w:r w:rsidRPr="009C0AEF">
              <w:rPr>
                <w:rFonts w:ascii="Bookman Old Style" w:hAnsi="Bookman Old Style"/>
              </w:rPr>
              <w:t>drugs</w:t>
            </w:r>
            <w:proofErr w:type="spellEnd"/>
            <w:r w:rsidRPr="009C0AEF">
              <w:rPr>
                <w:rFonts w:ascii="Bookman Old Style" w:hAnsi="Bookman Old Style"/>
              </w:rPr>
              <w:t xml:space="preserve"> </w:t>
            </w:r>
            <w:proofErr w:type="spellStart"/>
            <w:r w:rsidRPr="009C0AEF">
              <w:rPr>
                <w:rFonts w:ascii="Bookman Old Style" w:hAnsi="Bookman Old Style"/>
              </w:rPr>
              <w:t>can</w:t>
            </w:r>
            <w:proofErr w:type="spellEnd"/>
            <w:r w:rsidRPr="009C0AEF">
              <w:rPr>
                <w:rFonts w:ascii="Bookman Old Style" w:hAnsi="Bookman Old Style"/>
              </w:rPr>
              <w:t xml:space="preserve"> </w:t>
            </w:r>
            <w:proofErr w:type="spellStart"/>
            <w:r w:rsidRPr="009C0AEF">
              <w:rPr>
                <w:rFonts w:ascii="Bookman Old Style" w:hAnsi="Bookman Old Style"/>
              </w:rPr>
              <w:t>save</w:t>
            </w:r>
            <w:proofErr w:type="spellEnd"/>
            <w:r w:rsidR="009C0AEF" w:rsidRPr="009C0AEF">
              <w:rPr>
                <w:rFonts w:ascii="Bookman Old Style" w:hAnsi="Bookman Old Style"/>
              </w:rPr>
              <w:t xml:space="preserve"> </w:t>
            </w:r>
            <w:proofErr w:type="spellStart"/>
            <w:r w:rsidRPr="009C0AEF">
              <w:rPr>
                <w:rFonts w:ascii="Bookman Old Style" w:hAnsi="Bookman Old Style"/>
              </w:rPr>
              <w:t>lives</w:t>
            </w:r>
            <w:proofErr w:type="spellEnd"/>
            <w:r w:rsidRPr="009C0AEF">
              <w:rPr>
                <w:rFonts w:ascii="Bookman Old Style" w:hAnsi="Bookman Old Style"/>
              </w:rPr>
              <w:t> » en soulignant l’incohérence de la traduction de « </w:t>
            </w:r>
            <w:proofErr w:type="spellStart"/>
            <w:r w:rsidRPr="009C0AEF">
              <w:rPr>
                <w:rFonts w:ascii="Bookman Old Style" w:hAnsi="Bookman Old Style"/>
              </w:rPr>
              <w:t>drugs</w:t>
            </w:r>
            <w:proofErr w:type="spellEnd"/>
            <w:r w:rsidRPr="009C0AEF">
              <w:rPr>
                <w:rFonts w:ascii="Bookman Old Style" w:hAnsi="Bookman Old Style"/>
              </w:rPr>
              <w:t> » par « drogues  »</w:t>
            </w:r>
            <w:r w:rsidR="00134A60" w:rsidRPr="009C0AEF">
              <w:rPr>
                <w:rFonts w:ascii="Bookman Old Style" w:hAnsi="Bookman Old Style"/>
              </w:rPr>
              <w:t>. Découverte commune</w:t>
            </w:r>
            <w:r w:rsidRPr="009C0AEF">
              <w:rPr>
                <w:rFonts w:ascii="Bookman Old Style" w:hAnsi="Bookman Old Style"/>
              </w:rPr>
              <w:t xml:space="preserve"> du sens </w:t>
            </w:r>
            <w:r w:rsidR="00134A60" w:rsidRPr="009C0AEF">
              <w:rPr>
                <w:rFonts w:ascii="Bookman Old Style" w:hAnsi="Bookman Old Style"/>
              </w:rPr>
              <w:t xml:space="preserve">second </w:t>
            </w:r>
            <w:r w:rsidRPr="009C0AEF">
              <w:rPr>
                <w:rFonts w:ascii="Bookman Old Style" w:hAnsi="Bookman Old Style"/>
              </w:rPr>
              <w:t>« médicaments » sur wordreference</w:t>
            </w:r>
            <w:r w:rsidR="00134A60" w:rsidRPr="009C0AEF">
              <w:rPr>
                <w:rFonts w:ascii="Bookman Old Style" w:hAnsi="Bookman Old Style"/>
              </w:rPr>
              <w:t>.com au vidéoprojecteur</w:t>
            </w:r>
            <w:r w:rsidRPr="009C0AEF">
              <w:rPr>
                <w:rFonts w:ascii="Bookman Old Style" w:hAnsi="Bookman Old Style"/>
              </w:rPr>
              <w:t>,  indication de la présence de cette</w:t>
            </w:r>
            <w:r w:rsidR="00134A60" w:rsidRPr="009C0AEF">
              <w:rPr>
                <w:rFonts w:ascii="Bookman Old Style" w:hAnsi="Bookman Old Style"/>
              </w:rPr>
              <w:t xml:space="preserve"> traduction dans google </w:t>
            </w:r>
            <w:r w:rsidR="00134A60" w:rsidRPr="009C0AEF">
              <w:rPr>
                <w:rFonts w:ascii="Bookman Old Style" w:hAnsi="Bookman Old Style"/>
              </w:rPr>
              <w:lastRenderedPageBreak/>
              <w:t>traduction (hors cadre).</w:t>
            </w:r>
          </w:p>
          <w:p w:rsidR="00134A60" w:rsidRPr="009C0AEF" w:rsidRDefault="00134A60" w:rsidP="00F45B3B">
            <w:pPr>
              <w:rPr>
                <w:rFonts w:ascii="Bookman Old Style" w:hAnsi="Bookman Old Style"/>
              </w:rPr>
            </w:pPr>
            <w:r w:rsidRPr="009C0AEF">
              <w:rPr>
                <w:rFonts w:ascii="Bookman Old Style" w:hAnsi="Bookman Old Style"/>
              </w:rPr>
              <w:t xml:space="preserve">- </w:t>
            </w:r>
            <w:r w:rsidRPr="009C0AEF">
              <w:rPr>
                <w:rFonts w:ascii="Bookman Old Style" w:hAnsi="Bookman Old Style"/>
                <w:i/>
              </w:rPr>
              <w:t>Sur ordinateur</w:t>
            </w:r>
            <w:r w:rsidRPr="009C0AEF">
              <w:rPr>
                <w:rFonts w:ascii="Bookman Old Style" w:hAnsi="Bookman Old Style"/>
              </w:rPr>
              <w:t xml:space="preserve"> : les élèves ouvrent Google traduction et </w:t>
            </w:r>
            <w:proofErr w:type="spellStart"/>
            <w:r w:rsidRPr="009C0AEF">
              <w:rPr>
                <w:rFonts w:ascii="Bookman Old Style" w:hAnsi="Bookman Old Style"/>
              </w:rPr>
              <w:t>Wordreference</w:t>
            </w:r>
            <w:proofErr w:type="spellEnd"/>
            <w:r w:rsidRPr="009C0AEF">
              <w:rPr>
                <w:rFonts w:ascii="Bookman Old Style" w:hAnsi="Bookman Old Style"/>
              </w:rPr>
              <w:t xml:space="preserve"> dans deux onglets et font les exercices de traduction en comparant les propositions des deux outils. Les exercices sont à finir pour les cours suivants et seront corrigés par le professeur d’anglais.</w:t>
            </w:r>
          </w:p>
          <w:p w:rsidR="00134A60" w:rsidRPr="009C0AEF" w:rsidRDefault="00134A60" w:rsidP="00F45B3B">
            <w:pPr>
              <w:rPr>
                <w:rFonts w:ascii="Bookman Old Style" w:hAnsi="Bookman Old Style"/>
              </w:rPr>
            </w:pPr>
            <w:r w:rsidRPr="009C0AEF">
              <w:rPr>
                <w:rFonts w:ascii="Bookman Old Style" w:hAnsi="Bookman Old Style"/>
                <w:u w:val="single"/>
              </w:rPr>
              <w:t>Conclusion </w:t>
            </w:r>
            <w:r w:rsidRPr="009C0AEF">
              <w:rPr>
                <w:rFonts w:ascii="Bookman Old Style" w:hAnsi="Bookman Old Style"/>
              </w:rPr>
              <w:t>: Google traduction est un outil pratique qui facilite le travail mais qui doit être utilisé avec un grand sens critique pour corriger les erreurs et donner du sens</w:t>
            </w:r>
            <w:r w:rsidR="009C0AEF" w:rsidRPr="009C0AEF">
              <w:rPr>
                <w:rFonts w:ascii="Bookman Old Style" w:hAnsi="Bookman Old Style"/>
              </w:rPr>
              <w:t>,</w:t>
            </w:r>
            <w:r w:rsidRPr="009C0AEF">
              <w:rPr>
                <w:rFonts w:ascii="Bookman Old Style" w:hAnsi="Bookman Old Style"/>
              </w:rPr>
              <w:t xml:space="preserve"> et en parallèle d’un dictionnaire en ligne pour la correction en mot à mot.</w:t>
            </w:r>
          </w:p>
          <w:p w:rsidR="00134A60" w:rsidRPr="009C0AEF" w:rsidRDefault="00134A60" w:rsidP="00F45B3B">
            <w:pPr>
              <w:rPr>
                <w:rFonts w:ascii="Bookman Old Style" w:hAnsi="Bookman Old Style"/>
              </w:rPr>
            </w:pPr>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lastRenderedPageBreak/>
              <w:t>Matériel/ lieu</w:t>
            </w:r>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701D66" w:rsidP="00EE3C06">
            <w:pPr>
              <w:numPr>
                <w:ilvl w:val="0"/>
                <w:numId w:val="1"/>
              </w:numPr>
              <w:rPr>
                <w:rFonts w:ascii="Bookman Old Style" w:hAnsi="Bookman Old Style"/>
              </w:rPr>
            </w:pPr>
            <w:r w:rsidRPr="009C0AEF">
              <w:rPr>
                <w:rFonts w:ascii="Bookman Old Style" w:hAnsi="Bookman Old Style"/>
              </w:rPr>
              <w:t>Ordinateurs reliés</w:t>
            </w:r>
            <w:r w:rsidR="00970458" w:rsidRPr="009C0AEF">
              <w:rPr>
                <w:rFonts w:ascii="Bookman Old Style" w:hAnsi="Bookman Old Style"/>
              </w:rPr>
              <w:t xml:space="preserve"> à internet et vidéoprojecteur</w:t>
            </w:r>
            <w:r w:rsidRPr="009C0AEF">
              <w:rPr>
                <w:rFonts w:ascii="Bookman Old Style" w:hAnsi="Bookman Old Style"/>
              </w:rPr>
              <w:t>.</w:t>
            </w:r>
          </w:p>
          <w:p w:rsidR="00970458" w:rsidRPr="009C0AEF" w:rsidRDefault="00970458" w:rsidP="00EE3C06">
            <w:pPr>
              <w:numPr>
                <w:ilvl w:val="0"/>
                <w:numId w:val="1"/>
              </w:numPr>
              <w:rPr>
                <w:rFonts w:ascii="Bookman Old Style" w:hAnsi="Bookman Old Style"/>
              </w:rPr>
            </w:pPr>
            <w:r w:rsidRPr="009C0AEF">
              <w:rPr>
                <w:rFonts w:ascii="Bookman Old Style" w:hAnsi="Bookman Old Style"/>
              </w:rPr>
              <w:t>Fiches élèves</w:t>
            </w:r>
          </w:p>
        </w:tc>
      </w:tr>
      <w:tr w:rsidR="00EE3C06" w:rsidRPr="009C0AEF" w:rsidTr="00BC170C">
        <w:tc>
          <w:tcPr>
            <w:tcW w:w="16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EE3C06" w:rsidRPr="00E12CE0" w:rsidRDefault="00EE3C06" w:rsidP="00F45B3B">
            <w:pPr>
              <w:spacing w:before="120"/>
              <w:jc w:val="center"/>
              <w:rPr>
                <w:rFonts w:ascii="Bookman Old Style" w:hAnsi="Bookman Old Style"/>
              </w:rPr>
            </w:pPr>
            <w:r w:rsidRPr="00E12CE0">
              <w:rPr>
                <w:rFonts w:ascii="Bookman Old Style" w:hAnsi="Bookman Old Style"/>
                <w:b/>
                <w:smallCaps/>
                <w:sz w:val="22"/>
                <w:szCs w:val="20"/>
              </w:rPr>
              <w:t>Evaluation</w:t>
            </w:r>
          </w:p>
          <w:p w:rsidR="00EE3C06" w:rsidRPr="00E12CE0" w:rsidRDefault="00EE3C06" w:rsidP="00F45B3B">
            <w:pPr>
              <w:spacing w:before="120"/>
              <w:jc w:val="center"/>
              <w:rPr>
                <w:rFonts w:ascii="Bookman Old Style" w:hAnsi="Bookman Old Style"/>
              </w:rPr>
            </w:pPr>
          </w:p>
        </w:tc>
        <w:tc>
          <w:tcPr>
            <w:tcW w:w="12254" w:type="dxa"/>
            <w:tcBorders>
              <w:top w:val="single" w:sz="4" w:space="0" w:color="000001"/>
              <w:left w:val="single" w:sz="4" w:space="0" w:color="000001"/>
              <w:bottom w:val="single" w:sz="4" w:space="0" w:color="000001"/>
              <w:right w:val="single" w:sz="4" w:space="0" w:color="000001"/>
            </w:tcBorders>
            <w:shd w:val="clear" w:color="auto" w:fill="auto"/>
          </w:tcPr>
          <w:p w:rsidR="00EE3C06" w:rsidRPr="009C0AEF" w:rsidRDefault="00BC170C" w:rsidP="00F45B3B">
            <w:pPr>
              <w:rPr>
                <w:rFonts w:ascii="Bookman Old Style" w:hAnsi="Bookman Old Style"/>
              </w:rPr>
            </w:pPr>
            <w:r w:rsidRPr="009C0AEF">
              <w:rPr>
                <w:rFonts w:ascii="Bookman Old Style" w:hAnsi="Bookman Old Style"/>
              </w:rPr>
              <w:t>Par le professeur d’anglais : diminution des erreurs de traduction pour les traductions données en devoir maison.</w:t>
            </w:r>
          </w:p>
        </w:tc>
      </w:tr>
    </w:tbl>
    <w:p w:rsidR="007870C0" w:rsidRDefault="007870C0"/>
    <w:sectPr w:rsidR="007870C0" w:rsidSect="00EE3C0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264" w:rsidRDefault="00BF7264" w:rsidP="00BF7264">
      <w:r>
        <w:separator/>
      </w:r>
    </w:p>
  </w:endnote>
  <w:endnote w:type="continuationSeparator" w:id="1">
    <w:p w:rsidR="00BF7264" w:rsidRDefault="00BF7264" w:rsidP="00BF7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rlito"/>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64" w:rsidRPr="00BF7264" w:rsidRDefault="00BF7264" w:rsidP="00BF7264">
    <w:pPr>
      <w:pStyle w:val="Pieddepage"/>
      <w:jc w:val="right"/>
      <w:rPr>
        <w:rFonts w:ascii="Bookman Old Style" w:hAnsi="Bookman Old Style"/>
        <w:sz w:val="22"/>
      </w:rPr>
    </w:pPr>
    <w:proofErr w:type="spellStart"/>
    <w:r w:rsidRPr="00BF7264">
      <w:rPr>
        <w:rFonts w:ascii="Bookman Old Style" w:hAnsi="Bookman Old Style"/>
        <w:sz w:val="22"/>
      </w:rPr>
      <w:t>A.Prillieux</w:t>
    </w:r>
    <w:proofErr w:type="spellEnd"/>
    <w:r w:rsidRPr="00BF7264">
      <w:rPr>
        <w:rFonts w:ascii="Bookman Old Style" w:hAnsi="Bookman Old Style"/>
        <w:sz w:val="22"/>
      </w:rPr>
      <w:t>- 2017-2018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264" w:rsidRDefault="00BF7264" w:rsidP="00BF7264">
      <w:r>
        <w:separator/>
      </w:r>
    </w:p>
  </w:footnote>
  <w:footnote w:type="continuationSeparator" w:id="1">
    <w:p w:rsidR="00BF7264" w:rsidRDefault="00BF7264" w:rsidP="00BF7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EE3C06"/>
    <w:rsid w:val="00134A60"/>
    <w:rsid w:val="00286D78"/>
    <w:rsid w:val="002A5A3B"/>
    <w:rsid w:val="002C05F9"/>
    <w:rsid w:val="002E699C"/>
    <w:rsid w:val="00390D2A"/>
    <w:rsid w:val="005058C2"/>
    <w:rsid w:val="005920D7"/>
    <w:rsid w:val="005B7E02"/>
    <w:rsid w:val="006027EA"/>
    <w:rsid w:val="00613F55"/>
    <w:rsid w:val="00701D66"/>
    <w:rsid w:val="007870C0"/>
    <w:rsid w:val="00912258"/>
    <w:rsid w:val="00970458"/>
    <w:rsid w:val="009C0AEF"/>
    <w:rsid w:val="00AC45C4"/>
    <w:rsid w:val="00B85AAF"/>
    <w:rsid w:val="00BC170C"/>
    <w:rsid w:val="00BF7264"/>
    <w:rsid w:val="00C430C7"/>
    <w:rsid w:val="00CA7F0A"/>
    <w:rsid w:val="00E12CE0"/>
    <w:rsid w:val="00E72775"/>
    <w:rsid w:val="00EC3423"/>
    <w:rsid w:val="00EE3C06"/>
    <w:rsid w:val="00F3630E"/>
    <w:rsid w:val="00F45B3B"/>
    <w:rsid w:val="00F95DE9"/>
    <w:rsid w:val="00FB6A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0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F7264"/>
    <w:pPr>
      <w:tabs>
        <w:tab w:val="center" w:pos="4536"/>
        <w:tab w:val="right" w:pos="9072"/>
      </w:tabs>
    </w:pPr>
    <w:rPr>
      <w:szCs w:val="21"/>
    </w:rPr>
  </w:style>
  <w:style w:type="character" w:customStyle="1" w:styleId="En-tteCar">
    <w:name w:val="En-tête Car"/>
    <w:basedOn w:val="Policepardfaut"/>
    <w:link w:val="En-tte"/>
    <w:uiPriority w:val="99"/>
    <w:semiHidden/>
    <w:rsid w:val="00BF726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BF7264"/>
    <w:pPr>
      <w:tabs>
        <w:tab w:val="center" w:pos="4536"/>
        <w:tab w:val="right" w:pos="9072"/>
      </w:tabs>
    </w:pPr>
    <w:rPr>
      <w:szCs w:val="21"/>
    </w:rPr>
  </w:style>
  <w:style w:type="character" w:customStyle="1" w:styleId="PieddepageCar">
    <w:name w:val="Pied de page Car"/>
    <w:basedOn w:val="Policepardfaut"/>
    <w:link w:val="Pieddepage"/>
    <w:uiPriority w:val="99"/>
    <w:rsid w:val="00BF7264"/>
    <w:rPr>
      <w:rFonts w:ascii="Times New Roman" w:eastAsia="SimSun" w:hAnsi="Times New Roman" w:cs="Mangal"/>
      <w:kern w:val="1"/>
      <w:sz w:val="24"/>
      <w:szCs w:val="21"/>
      <w:lang w:eastAsia="zh-CN" w:bidi="hi-IN"/>
    </w:rPr>
  </w:style>
  <w:style w:type="paragraph" w:styleId="Textedebulles">
    <w:name w:val="Balloon Text"/>
    <w:basedOn w:val="Normal"/>
    <w:link w:val="TextedebullesCar"/>
    <w:uiPriority w:val="99"/>
    <w:semiHidden/>
    <w:unhideWhenUsed/>
    <w:rsid w:val="00BF7264"/>
    <w:rPr>
      <w:rFonts w:ascii="Tahoma" w:hAnsi="Tahoma"/>
      <w:sz w:val="16"/>
      <w:szCs w:val="14"/>
    </w:rPr>
  </w:style>
  <w:style w:type="character" w:customStyle="1" w:styleId="TextedebullesCar">
    <w:name w:val="Texte de bulles Car"/>
    <w:basedOn w:val="Policepardfaut"/>
    <w:link w:val="Textedebulles"/>
    <w:uiPriority w:val="99"/>
    <w:semiHidden/>
    <w:rsid w:val="00BF7264"/>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7D0C-9A69-4FA9-936F-A7EACAA0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 Prillieux</dc:creator>
  <cp:lastModifiedBy>CDI</cp:lastModifiedBy>
  <cp:revision>5</cp:revision>
  <dcterms:created xsi:type="dcterms:W3CDTF">2017-11-07T14:48:00Z</dcterms:created>
  <dcterms:modified xsi:type="dcterms:W3CDTF">2017-11-28T19:19:00Z</dcterms:modified>
</cp:coreProperties>
</file>